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A065" w14:textId="437FCB06" w:rsidR="009332FE" w:rsidRPr="007F4526" w:rsidRDefault="00B96431" w:rsidP="00F43764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2C5D">
        <w:rPr>
          <w:b/>
          <w:b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UPDATE</w:t>
      </w:r>
      <w:r w:rsidR="00FB2C5D">
        <w:rPr>
          <w:b/>
          <w:b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Pr="00FB2C5D">
        <w:rPr>
          <w:b/>
          <w:b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332FE" w:rsidRPr="007F4526"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Request for Proposals</w:t>
      </w:r>
    </w:p>
    <w:p w14:paraId="69A5EDB3" w14:textId="77777777" w:rsidR="009332FE" w:rsidRPr="007F4526" w:rsidRDefault="009332FE" w:rsidP="00F4376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F4526">
        <w:rPr>
          <w:b/>
          <w:bCs/>
          <w:sz w:val="40"/>
          <w:szCs w:val="40"/>
        </w:rPr>
        <w:t>New Jersey Colleges</w:t>
      </w:r>
      <w:r w:rsidRPr="007F4526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</w:t>
      </w:r>
      <w:r w:rsidRPr="007F4526">
        <w:rPr>
          <w:b/>
          <w:bCs/>
          <w:sz w:val="40"/>
          <w:szCs w:val="40"/>
        </w:rPr>
        <w:t>Universities</w:t>
      </w:r>
    </w:p>
    <w:p w14:paraId="1D9CCFE9" w14:textId="77777777" w:rsidR="009332FE" w:rsidRPr="007F4526" w:rsidRDefault="009332FE" w:rsidP="00F4376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F4526">
        <w:rPr>
          <w:b/>
          <w:bCs/>
          <w:sz w:val="40"/>
          <w:szCs w:val="40"/>
        </w:rPr>
        <w:t xml:space="preserve"> Apply to Host the </w:t>
      </w:r>
    </w:p>
    <w:p w14:paraId="23E0D5FE" w14:textId="77777777" w:rsidR="009332FE" w:rsidRDefault="009332FE" w:rsidP="00F4376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F4526">
        <w:rPr>
          <w:b/>
          <w:bCs/>
          <w:sz w:val="40"/>
          <w:szCs w:val="40"/>
        </w:rPr>
        <w:t>2025 NSTI Program</w:t>
      </w:r>
    </w:p>
    <w:p w14:paraId="488A6B4E" w14:textId="77777777" w:rsidR="00F43764" w:rsidRPr="007F4526" w:rsidRDefault="00F43764" w:rsidP="00F4376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CBE841C" w14:textId="088E5ED7" w:rsidR="009332FE" w:rsidRDefault="009332FE" w:rsidP="009332FE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New Jersey Department of Transportation is currently accepting proposals from institutions of higher education for participation in the </w:t>
      </w:r>
      <w:r>
        <w:rPr>
          <w:rFonts w:eastAsia="Times New Roman" w:cs="Times New Roman"/>
          <w:b/>
          <w:bCs/>
          <w:sz w:val="28"/>
          <w:szCs w:val="28"/>
        </w:rPr>
        <w:t>2025 National Summer Transportation Institute (NSTI) Program</w:t>
      </w:r>
      <w:r>
        <w:rPr>
          <w:rFonts w:eastAsia="Times New Roman" w:cs="Times New Roman"/>
          <w:sz w:val="28"/>
          <w:szCs w:val="28"/>
        </w:rPr>
        <w:t xml:space="preserve">. </w:t>
      </w:r>
      <w:r w:rsidR="00B73E5E">
        <w:rPr>
          <w:rFonts w:eastAsia="Times New Roman" w:cs="Open Sans"/>
          <w:color w:val="212529"/>
          <w:sz w:val="28"/>
          <w:szCs w:val="28"/>
        </w:rPr>
        <w:t xml:space="preserve">NSTI is a 2-4 consecutive week Science, Technology, Engineering and Math (STEM) education program. </w:t>
      </w:r>
      <w:r w:rsidRPr="009332FE">
        <w:rPr>
          <w:rFonts w:eastAsia="Times New Roman" w:cs="Open Sans"/>
          <w:color w:val="212529"/>
          <w:sz w:val="28"/>
          <w:szCs w:val="28"/>
        </w:rPr>
        <w:t>Any accredited institution of higher education may apply to serve as a host site for this program</w:t>
      </w:r>
      <w:r w:rsidR="009D01CE">
        <w:rPr>
          <w:rFonts w:eastAsia="Times New Roman" w:cs="Open Sans"/>
          <w:color w:val="212529"/>
          <w:sz w:val="28"/>
          <w:szCs w:val="28"/>
        </w:rPr>
        <w:t>,</w:t>
      </w:r>
      <w:r w:rsidR="009D01CE" w:rsidRPr="009D01CE">
        <w:rPr>
          <w:sz w:val="24"/>
          <w:szCs w:val="24"/>
        </w:rPr>
        <w:t xml:space="preserve"> </w:t>
      </w:r>
      <w:r w:rsidR="009D01CE" w:rsidRPr="009D01CE">
        <w:rPr>
          <w:sz w:val="28"/>
          <w:szCs w:val="28"/>
        </w:rPr>
        <w:t>including 2-year community colleges</w:t>
      </w:r>
      <w:r w:rsidR="007F4526">
        <w:rPr>
          <w:sz w:val="24"/>
          <w:szCs w:val="24"/>
        </w:rPr>
        <w:t>.</w:t>
      </w:r>
    </w:p>
    <w:p w14:paraId="7678BEF0" w14:textId="30820F36" w:rsidR="007F4526" w:rsidRDefault="009D01CE" w:rsidP="009D01CE">
      <w:pPr>
        <w:shd w:val="clear" w:color="auto" w:fill="FFFFFF"/>
        <w:spacing w:after="100" w:afterAutospacing="1" w:line="240" w:lineRule="auto"/>
        <w:jc w:val="both"/>
        <w:rPr>
          <w:rFonts w:eastAsia="Times New Roman" w:cs="Open Sans"/>
          <w:color w:val="212529"/>
          <w:sz w:val="28"/>
          <w:szCs w:val="28"/>
        </w:rPr>
      </w:pPr>
      <w:r w:rsidRPr="009332FE">
        <w:rPr>
          <w:rFonts w:eastAsia="Times New Roman" w:cs="Open Sans"/>
          <w:color w:val="212529"/>
          <w:sz w:val="28"/>
          <w:szCs w:val="28"/>
        </w:rPr>
        <w:t>Please include the college or university's indirect cost agreement when submitting the budget tables. Once IDC has been calculated, please insert on Table-E (Budget Form) in cells I-144 and I-146. The Statement of Work (SOW) Application, Budget Tables A-E, and Program Reference Guide can be found at N</w:t>
      </w:r>
      <w:r>
        <w:rPr>
          <w:rFonts w:eastAsia="Times New Roman" w:cs="Open Sans"/>
          <w:color w:val="212529"/>
          <w:sz w:val="28"/>
          <w:szCs w:val="28"/>
        </w:rPr>
        <w:t>J</w:t>
      </w:r>
      <w:r w:rsidRPr="009332FE">
        <w:rPr>
          <w:rFonts w:eastAsia="Times New Roman" w:cs="Open Sans"/>
          <w:color w:val="212529"/>
          <w:sz w:val="28"/>
          <w:szCs w:val="28"/>
        </w:rPr>
        <w:t xml:space="preserve">DOT: </w:t>
      </w:r>
      <w:r w:rsidRPr="007F4526">
        <w:rPr>
          <w:rFonts w:eastAsia="Times New Roman" w:cs="Open Sans"/>
          <w:color w:val="FF0000"/>
          <w:sz w:val="28"/>
          <w:szCs w:val="28"/>
        </w:rPr>
        <w:t>National Summer Transportation Institute</w:t>
      </w:r>
      <w:r w:rsidRPr="009332FE">
        <w:rPr>
          <w:rFonts w:eastAsia="Times New Roman" w:cs="Open Sans"/>
          <w:color w:val="212529"/>
          <w:sz w:val="28"/>
          <w:szCs w:val="28"/>
        </w:rPr>
        <w:t>.  Proposals can be submitted via email to</w:t>
      </w:r>
      <w:r>
        <w:rPr>
          <w:rFonts w:eastAsia="Times New Roman" w:cs="Open Sans"/>
          <w:color w:val="212529"/>
          <w:sz w:val="28"/>
          <w:szCs w:val="28"/>
        </w:rPr>
        <w:t xml:space="preserve"> </w:t>
      </w:r>
      <w:r w:rsidRPr="009D01CE">
        <w:rPr>
          <w:rFonts w:eastAsia="Times New Roman" w:cs="Open Sans"/>
          <w:color w:val="212529"/>
          <w:sz w:val="28"/>
          <w:szCs w:val="28"/>
        </w:rPr>
        <w:t>titlevi@dot.nj.gov</w:t>
      </w:r>
      <w:r w:rsidRPr="009332FE">
        <w:rPr>
          <w:rFonts w:eastAsia="Times New Roman" w:cs="Open Sans"/>
          <w:color w:val="212529"/>
          <w:sz w:val="28"/>
          <w:szCs w:val="28"/>
        </w:rPr>
        <w:t xml:space="preserve">. </w:t>
      </w:r>
    </w:p>
    <w:p w14:paraId="07ED7F22" w14:textId="1085BB09" w:rsidR="009D01CE" w:rsidRDefault="009D01CE" w:rsidP="009D01CE">
      <w:pPr>
        <w:shd w:val="clear" w:color="auto" w:fill="FFFFFF"/>
        <w:spacing w:after="100" w:afterAutospacing="1" w:line="240" w:lineRule="auto"/>
        <w:jc w:val="both"/>
        <w:rPr>
          <w:rFonts w:eastAsia="Times New Roman" w:cs="Open Sans"/>
          <w:color w:val="212529"/>
          <w:sz w:val="28"/>
          <w:szCs w:val="28"/>
        </w:rPr>
      </w:pPr>
      <w:r w:rsidRPr="00B96431">
        <w:rPr>
          <w:rFonts w:eastAsia="Times New Roman" w:cs="Open Sans"/>
          <w:b/>
          <w:bCs/>
          <w:color w:val="FF0000"/>
          <w:sz w:val="28"/>
          <w:szCs w:val="28"/>
          <w:u w:val="single"/>
        </w:rPr>
        <w:t xml:space="preserve">Proposals must be received by 5:00 p.m. on </w:t>
      </w:r>
      <w:r w:rsidR="00B96431" w:rsidRPr="00B96431">
        <w:rPr>
          <w:rFonts w:eastAsia="Times New Roman" w:cs="Open Sans"/>
          <w:b/>
          <w:bCs/>
          <w:color w:val="FF0000"/>
          <w:sz w:val="28"/>
          <w:szCs w:val="28"/>
          <w:u w:val="single"/>
        </w:rPr>
        <w:t>December 16, 2024</w:t>
      </w:r>
      <w:r w:rsidRPr="009332FE">
        <w:rPr>
          <w:rFonts w:eastAsia="Times New Roman" w:cs="Open Sans"/>
          <w:color w:val="212529"/>
          <w:sz w:val="28"/>
          <w:szCs w:val="28"/>
        </w:rPr>
        <w:t xml:space="preserve">. Proposals received after the deadline will not be considered. If you have any questions, please contact </w:t>
      </w:r>
      <w:r w:rsidR="007F4526">
        <w:rPr>
          <w:rFonts w:eastAsia="Times New Roman" w:cs="Open Sans"/>
          <w:color w:val="212529"/>
          <w:sz w:val="28"/>
          <w:szCs w:val="28"/>
        </w:rPr>
        <w:t xml:space="preserve">Chrystal Section </w:t>
      </w:r>
      <w:r w:rsidRPr="009332FE">
        <w:rPr>
          <w:rFonts w:eastAsia="Times New Roman" w:cs="Open Sans"/>
          <w:color w:val="212529"/>
          <w:sz w:val="28"/>
          <w:szCs w:val="28"/>
        </w:rPr>
        <w:t xml:space="preserve">at </w:t>
      </w:r>
      <w:r w:rsidR="007F4526">
        <w:rPr>
          <w:rFonts w:eastAsia="Times New Roman" w:cs="Open Sans"/>
          <w:color w:val="212529"/>
          <w:sz w:val="28"/>
          <w:szCs w:val="28"/>
        </w:rPr>
        <w:t>609-963-2046 or chrystal.section@dot.nj.gov</w:t>
      </w:r>
      <w:r w:rsidRPr="009332FE">
        <w:rPr>
          <w:rFonts w:eastAsia="Times New Roman" w:cs="Open Sans"/>
          <w:color w:val="212529"/>
          <w:sz w:val="28"/>
          <w:szCs w:val="28"/>
        </w:rPr>
        <w:t xml:space="preserve">.  </w:t>
      </w:r>
    </w:p>
    <w:p w14:paraId="049EEFEE" w14:textId="60C8491E" w:rsidR="00584C94" w:rsidRPr="00F75E90" w:rsidRDefault="00F43764" w:rsidP="00F43764">
      <w:pPr>
        <w:shd w:val="clear" w:color="auto" w:fill="FFFFFF" w:themeFill="background1"/>
        <w:spacing w:after="100" w:afterAutospacing="1" w:line="240" w:lineRule="auto"/>
        <w:jc w:val="both"/>
      </w:pPr>
      <w:r>
        <w:rPr>
          <w:rFonts w:eastAsia="Times New Roman" w:cs="Open Sans"/>
          <w:color w:val="212529"/>
          <w:sz w:val="28"/>
          <w:szCs w:val="28"/>
        </w:rPr>
        <w:t xml:space="preserve">For additional information on the NSTI, please visit the US Department of Transportation, Federal Highway Administration at: </w:t>
      </w:r>
      <w:hyperlink r:id="rId6" w:history="1">
        <w:r>
          <w:rPr>
            <w:rStyle w:val="Hyperlink"/>
            <w:rFonts w:eastAsiaTheme="majorEastAsia" w:cs="Times New Roman"/>
            <w:color w:val="0000FF"/>
            <w:sz w:val="24"/>
            <w:szCs w:val="24"/>
          </w:rPr>
          <w:t>Transportation Educational Development for K-12 | FHWA</w:t>
        </w:r>
      </w:hyperlink>
      <w:r>
        <w:t>.</w:t>
      </w:r>
    </w:p>
    <w:sectPr w:rsidR="00584C94" w:rsidRPr="00F75E90" w:rsidSect="002F477F">
      <w:headerReference w:type="first" r:id="rId7"/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FA6EC" w14:textId="77777777" w:rsidR="009A5BF6" w:rsidRDefault="009A5BF6" w:rsidP="005B6BE3">
      <w:pPr>
        <w:spacing w:after="0" w:line="240" w:lineRule="auto"/>
      </w:pPr>
      <w:r>
        <w:separator/>
      </w:r>
    </w:p>
  </w:endnote>
  <w:endnote w:type="continuationSeparator" w:id="0">
    <w:p w14:paraId="2E25CCBC" w14:textId="77777777" w:rsidR="009A5BF6" w:rsidRDefault="009A5BF6" w:rsidP="005B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e English">
    <w:altName w:val="Calibri"/>
    <w:charset w:val="00"/>
    <w:family w:val="auto"/>
    <w:pitch w:val="variable"/>
    <w:sig w:usb0="8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9AAC" w14:textId="77777777" w:rsidR="005B6BE3" w:rsidRPr="00D73972" w:rsidRDefault="005B6BE3" w:rsidP="00A47B2F">
    <w:pPr>
      <w:pStyle w:val="Footer"/>
      <w:jc w:val="center"/>
      <w:rPr>
        <w:rFonts w:ascii="Times New Roman" w:hAnsi="Times New Roman" w:cs="Times New Roman"/>
        <w:color w:val="262A73"/>
        <w:sz w:val="20"/>
        <w:szCs w:val="20"/>
      </w:rPr>
    </w:pPr>
    <w:r w:rsidRPr="00D73972">
      <w:rPr>
        <w:rFonts w:ascii="Times New Roman" w:hAnsi="Times New Roman" w:cs="Times New Roman"/>
        <w:color w:val="262A73"/>
        <w:sz w:val="20"/>
        <w:szCs w:val="20"/>
      </w:rPr>
      <w:t>“IMPROVING LIVES BY IMPROVING TRANSPORTATION”</w:t>
    </w:r>
  </w:p>
  <w:p w14:paraId="630B9099" w14:textId="77777777" w:rsidR="005B6BE3" w:rsidRPr="00D73972" w:rsidRDefault="005B6BE3" w:rsidP="005B6BE3">
    <w:pPr>
      <w:pStyle w:val="Footer"/>
      <w:jc w:val="center"/>
      <w:rPr>
        <w:rFonts w:ascii="Times New Roman" w:hAnsi="Times New Roman" w:cs="Times New Roman"/>
        <w:color w:val="262A73"/>
      </w:rPr>
    </w:pPr>
    <w:r w:rsidRPr="00D73972">
      <w:rPr>
        <w:rFonts w:ascii="Times New Roman" w:hAnsi="Times New Roman" w:cs="Times New Roman"/>
        <w:color w:val="262A73"/>
      </w:rPr>
      <w:t>New Jersey Is An Equal Opportunity Employer • Printed on Recycled and Recyclable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54CA" w14:textId="77777777" w:rsidR="009A5BF6" w:rsidRDefault="009A5BF6" w:rsidP="005B6BE3">
      <w:pPr>
        <w:spacing w:after="0" w:line="240" w:lineRule="auto"/>
      </w:pPr>
      <w:r>
        <w:separator/>
      </w:r>
    </w:p>
  </w:footnote>
  <w:footnote w:type="continuationSeparator" w:id="0">
    <w:p w14:paraId="08B8EE7C" w14:textId="77777777" w:rsidR="009A5BF6" w:rsidRDefault="009A5BF6" w:rsidP="005B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center" w:tblpY="361"/>
      <w:tblW w:w="100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0"/>
      <w:gridCol w:w="4140"/>
      <w:gridCol w:w="2969"/>
    </w:tblGrid>
    <w:tr w:rsidR="00A737F3" w14:paraId="31AAA4B3" w14:textId="77777777" w:rsidTr="00686F84">
      <w:trPr>
        <w:trHeight w:val="1709"/>
      </w:trPr>
      <w:tc>
        <w:tcPr>
          <w:tcW w:w="2970" w:type="dxa"/>
          <w:vAlign w:val="center"/>
        </w:tcPr>
        <w:p w14:paraId="00A3ED78" w14:textId="77777777" w:rsidR="00A737F3" w:rsidRDefault="00A737F3" w:rsidP="009F76B7">
          <w:pPr>
            <w:pStyle w:val="Header"/>
            <w:jc w:val="center"/>
          </w:pPr>
        </w:p>
      </w:tc>
      <w:tc>
        <w:tcPr>
          <w:tcW w:w="4140" w:type="dxa"/>
          <w:vAlign w:val="center"/>
        </w:tcPr>
        <w:p w14:paraId="2BD9D02A" w14:textId="77777777" w:rsidR="00A737F3" w:rsidRPr="006557E1" w:rsidRDefault="005F4ED4" w:rsidP="009F76B7">
          <w:pPr>
            <w:pStyle w:val="Header"/>
            <w:jc w:val="center"/>
            <w:rPr>
              <w:rFonts w:ascii="Olde English" w:hAnsi="Olde English"/>
              <w:color w:val="262A73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0245BA90" wp14:editId="4812CFF9">
                <wp:extent cx="1036320" cy="1014095"/>
                <wp:effectExtent l="0" t="0" r="0" b="0"/>
                <wp:docPr id="12863527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C1BCE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14C15D00" wp14:editId="591995CD">
                <wp:extent cx="2715260" cy="354965"/>
                <wp:effectExtent l="0" t="0" r="8890" b="6985"/>
                <wp:docPr id="143487548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28" r="29143" b="776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526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9" w:type="dxa"/>
          <w:vAlign w:val="center"/>
        </w:tcPr>
        <w:p w14:paraId="5E139E3E" w14:textId="77777777" w:rsidR="00A737F3" w:rsidRDefault="00A737F3" w:rsidP="009F76B7">
          <w:pPr>
            <w:pStyle w:val="Header"/>
            <w:jc w:val="center"/>
          </w:pPr>
        </w:p>
      </w:tc>
    </w:tr>
    <w:tr w:rsidR="00D73972" w:rsidRPr="00D73972" w14:paraId="18100C72" w14:textId="77777777" w:rsidTr="00686F84">
      <w:trPr>
        <w:trHeight w:val="710"/>
      </w:trPr>
      <w:tc>
        <w:tcPr>
          <w:tcW w:w="2970" w:type="dxa"/>
          <w:vAlign w:val="center"/>
        </w:tcPr>
        <w:p w14:paraId="7A7D4608" w14:textId="77777777" w:rsidR="00D73972" w:rsidRPr="00D73972" w:rsidRDefault="00D73972" w:rsidP="009F76B7">
          <w:pPr>
            <w:pStyle w:val="Header"/>
            <w:jc w:val="center"/>
            <w:rPr>
              <w:color w:val="262A73"/>
            </w:rPr>
          </w:pPr>
        </w:p>
      </w:tc>
      <w:tc>
        <w:tcPr>
          <w:tcW w:w="4140" w:type="dxa"/>
        </w:tcPr>
        <w:p w14:paraId="32F4AD66" w14:textId="77777777" w:rsidR="00D73972" w:rsidRPr="00686F84" w:rsidRDefault="00D73972" w:rsidP="00D73972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  <w:r w:rsidRPr="00686F84"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  <w:t>DEPARTMENT OF TRANSPORTATION</w:t>
          </w:r>
          <w:r w:rsidRPr="00686F84"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  <w:br/>
            <w:t xml:space="preserve"> P.O. Box 600</w:t>
          </w:r>
        </w:p>
        <w:p w14:paraId="6FACEBB5" w14:textId="77777777" w:rsidR="00D73972" w:rsidRPr="00D73972" w:rsidRDefault="00D73972" w:rsidP="00D73972">
          <w:pPr>
            <w:pStyle w:val="Header"/>
            <w:jc w:val="center"/>
            <w:rPr>
              <w:rFonts w:ascii="Old English Text MT" w:hAnsi="Old English Text MT"/>
              <w:b/>
              <w:color w:val="262A73"/>
              <w:w w:val="90"/>
              <w:sz w:val="36"/>
              <w:szCs w:val="36"/>
            </w:rPr>
          </w:pPr>
          <w:r w:rsidRPr="00686F84"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  <w:t>Trenton, New Jersey 08625-0600</w:t>
          </w:r>
        </w:p>
      </w:tc>
      <w:tc>
        <w:tcPr>
          <w:tcW w:w="2969" w:type="dxa"/>
          <w:vAlign w:val="center"/>
        </w:tcPr>
        <w:p w14:paraId="57DB6DCC" w14:textId="77777777" w:rsidR="00D73972" w:rsidRPr="00D73972" w:rsidRDefault="00D73972" w:rsidP="009F76B7">
          <w:pPr>
            <w:pStyle w:val="Header"/>
            <w:jc w:val="center"/>
            <w:rPr>
              <w:color w:val="262A73"/>
            </w:rPr>
          </w:pPr>
        </w:p>
      </w:tc>
    </w:tr>
    <w:tr w:rsidR="00D73972" w:rsidRPr="00D73972" w14:paraId="2E1A3EFC" w14:textId="77777777" w:rsidTr="00686F84">
      <w:trPr>
        <w:trHeight w:val="144"/>
      </w:trPr>
      <w:tc>
        <w:tcPr>
          <w:tcW w:w="2970" w:type="dxa"/>
          <w:vAlign w:val="center"/>
        </w:tcPr>
        <w:p w14:paraId="3ABA2304" w14:textId="77777777" w:rsidR="00D73972" w:rsidRPr="00686F84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  <w:r w:rsidRPr="00686F84"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  <w:t>PHILIP D. MURPHY</w:t>
          </w:r>
        </w:p>
      </w:tc>
      <w:tc>
        <w:tcPr>
          <w:tcW w:w="4140" w:type="dxa"/>
          <w:vAlign w:val="center"/>
        </w:tcPr>
        <w:p w14:paraId="11DE33BC" w14:textId="77777777" w:rsidR="00D73972" w:rsidRPr="00D73972" w:rsidRDefault="00D73972" w:rsidP="00DE6441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  <w:tc>
        <w:tcPr>
          <w:tcW w:w="2969" w:type="dxa"/>
          <w:vAlign w:val="center"/>
        </w:tcPr>
        <w:p w14:paraId="147380A0" w14:textId="77777777" w:rsidR="00D73972" w:rsidRPr="00686F84" w:rsidRDefault="004A58FE" w:rsidP="009F76B7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  <w:r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  <w:t>FRANCIS K. O’CONNOR</w:t>
          </w:r>
        </w:p>
      </w:tc>
    </w:tr>
    <w:tr w:rsidR="00D73972" w:rsidRPr="00D73972" w14:paraId="3E0FAD08" w14:textId="77777777" w:rsidTr="00686F84">
      <w:tc>
        <w:tcPr>
          <w:tcW w:w="2970" w:type="dxa"/>
          <w:vAlign w:val="center"/>
        </w:tcPr>
        <w:p w14:paraId="3FEF209D" w14:textId="77777777" w:rsidR="00D73972" w:rsidRPr="00686F84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  <w:r w:rsidRPr="00686F84">
            <w:rPr>
              <w:rFonts w:ascii="Times New Roman" w:hAnsi="Times New Roman" w:cs="Times New Roman"/>
              <w:i/>
              <w:color w:val="365F91" w:themeColor="accent1" w:themeShade="BF"/>
              <w:sz w:val="20"/>
              <w:szCs w:val="20"/>
            </w:rPr>
            <w:t>Governor</w:t>
          </w:r>
        </w:p>
      </w:tc>
      <w:tc>
        <w:tcPr>
          <w:tcW w:w="4140" w:type="dxa"/>
          <w:vAlign w:val="center"/>
        </w:tcPr>
        <w:p w14:paraId="53C3036C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  <w:tc>
        <w:tcPr>
          <w:tcW w:w="2969" w:type="dxa"/>
          <w:vAlign w:val="center"/>
        </w:tcPr>
        <w:p w14:paraId="7B671EA5" w14:textId="77777777" w:rsidR="00D73972" w:rsidRPr="00686F84" w:rsidRDefault="00D73972" w:rsidP="00365941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  <w:r w:rsidRPr="00686F84">
            <w:rPr>
              <w:rFonts w:ascii="Times New Roman" w:hAnsi="Times New Roman" w:cs="Times New Roman"/>
              <w:i/>
              <w:color w:val="365F91" w:themeColor="accent1" w:themeShade="BF"/>
              <w:sz w:val="20"/>
              <w:szCs w:val="20"/>
            </w:rPr>
            <w:t>Commissioner</w:t>
          </w:r>
        </w:p>
      </w:tc>
    </w:tr>
    <w:tr w:rsidR="00D73972" w:rsidRPr="00D73972" w14:paraId="1B07B352" w14:textId="77777777" w:rsidTr="00686F84">
      <w:tc>
        <w:tcPr>
          <w:tcW w:w="2970" w:type="dxa"/>
          <w:vAlign w:val="center"/>
        </w:tcPr>
        <w:p w14:paraId="7A6DE6F1" w14:textId="77777777" w:rsidR="00D73972" w:rsidRPr="00686F84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</w:p>
      </w:tc>
      <w:tc>
        <w:tcPr>
          <w:tcW w:w="4140" w:type="dxa"/>
          <w:vAlign w:val="center"/>
        </w:tcPr>
        <w:p w14:paraId="65419FFD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  <w:tc>
        <w:tcPr>
          <w:tcW w:w="2969" w:type="dxa"/>
          <w:vAlign w:val="center"/>
        </w:tcPr>
        <w:p w14:paraId="21A3913E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</w:tr>
    <w:tr w:rsidR="00D73972" w:rsidRPr="00D73972" w14:paraId="07214BA9" w14:textId="77777777" w:rsidTr="00686F84">
      <w:tc>
        <w:tcPr>
          <w:tcW w:w="2970" w:type="dxa"/>
          <w:vAlign w:val="center"/>
        </w:tcPr>
        <w:p w14:paraId="11770252" w14:textId="77777777" w:rsidR="00D73972" w:rsidRPr="00686F84" w:rsidRDefault="00AB1C95" w:rsidP="009F76B7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  <w:r w:rsidRPr="00686F84"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  <w:t>TAHESHA L. WAY</w:t>
          </w:r>
        </w:p>
      </w:tc>
      <w:tc>
        <w:tcPr>
          <w:tcW w:w="4140" w:type="dxa"/>
          <w:vAlign w:val="center"/>
        </w:tcPr>
        <w:p w14:paraId="1DA0B9BD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  <w:tc>
        <w:tcPr>
          <w:tcW w:w="2969" w:type="dxa"/>
          <w:vAlign w:val="center"/>
        </w:tcPr>
        <w:p w14:paraId="3A02591C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</w:tr>
    <w:tr w:rsidR="00D73972" w:rsidRPr="00D73972" w14:paraId="696CF2FB" w14:textId="77777777" w:rsidTr="00686F84">
      <w:tc>
        <w:tcPr>
          <w:tcW w:w="2970" w:type="dxa"/>
          <w:vAlign w:val="center"/>
        </w:tcPr>
        <w:p w14:paraId="2360469F" w14:textId="77777777" w:rsidR="00D73972" w:rsidRPr="00686F84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  <w:r w:rsidRPr="00686F84">
            <w:rPr>
              <w:rFonts w:ascii="Times New Roman" w:hAnsi="Times New Roman" w:cs="Times New Roman"/>
              <w:i/>
              <w:color w:val="365F91" w:themeColor="accent1" w:themeShade="BF"/>
              <w:sz w:val="20"/>
              <w:szCs w:val="20"/>
            </w:rPr>
            <w:t>Lt. Governor</w:t>
          </w:r>
        </w:p>
      </w:tc>
      <w:tc>
        <w:tcPr>
          <w:tcW w:w="4140" w:type="dxa"/>
          <w:vAlign w:val="center"/>
        </w:tcPr>
        <w:p w14:paraId="3F820C64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  <w:tc>
        <w:tcPr>
          <w:tcW w:w="2969" w:type="dxa"/>
          <w:vAlign w:val="center"/>
        </w:tcPr>
        <w:p w14:paraId="7B222EDE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</w:tr>
    <w:tr w:rsidR="00D73972" w:rsidRPr="00D73972" w14:paraId="121B1B57" w14:textId="77777777" w:rsidTr="00686F84">
      <w:tc>
        <w:tcPr>
          <w:tcW w:w="2970" w:type="dxa"/>
          <w:vAlign w:val="center"/>
        </w:tcPr>
        <w:p w14:paraId="13B27C99" w14:textId="77777777" w:rsidR="00D73972" w:rsidRPr="00686F84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20"/>
              <w:szCs w:val="20"/>
            </w:rPr>
          </w:pPr>
        </w:p>
      </w:tc>
      <w:tc>
        <w:tcPr>
          <w:tcW w:w="4140" w:type="dxa"/>
          <w:vAlign w:val="center"/>
        </w:tcPr>
        <w:p w14:paraId="4162C543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  <w:tc>
        <w:tcPr>
          <w:tcW w:w="2969" w:type="dxa"/>
          <w:vAlign w:val="center"/>
        </w:tcPr>
        <w:p w14:paraId="0536605A" w14:textId="77777777" w:rsidR="00D73972" w:rsidRPr="00D73972" w:rsidRDefault="00D73972" w:rsidP="009F76B7">
          <w:pPr>
            <w:pStyle w:val="Header"/>
            <w:jc w:val="center"/>
            <w:rPr>
              <w:rFonts w:ascii="Times New Roman" w:hAnsi="Times New Roman" w:cs="Times New Roman"/>
              <w:color w:val="262A73"/>
              <w:sz w:val="20"/>
              <w:szCs w:val="20"/>
            </w:rPr>
          </w:pPr>
        </w:p>
      </w:tc>
    </w:tr>
  </w:tbl>
  <w:p w14:paraId="34F48663" w14:textId="77777777" w:rsidR="005B6BE3" w:rsidRPr="00D73972" w:rsidRDefault="00F56A6A">
    <w:pPr>
      <w:pStyle w:val="Header"/>
      <w:rPr>
        <w:color w:val="262A73"/>
        <w:sz w:val="2"/>
        <w:szCs w:val="2"/>
      </w:rPr>
    </w:pPr>
    <w:r w:rsidRPr="00D73972">
      <w:rPr>
        <w:color w:val="262A73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0A"/>
    <w:rsid w:val="00010B81"/>
    <w:rsid w:val="00010F2E"/>
    <w:rsid w:val="00015AB5"/>
    <w:rsid w:val="00025F44"/>
    <w:rsid w:val="000B708F"/>
    <w:rsid w:val="000F04DD"/>
    <w:rsid w:val="00147CBA"/>
    <w:rsid w:val="001503CE"/>
    <w:rsid w:val="001801C1"/>
    <w:rsid w:val="001A2638"/>
    <w:rsid w:val="001E3E47"/>
    <w:rsid w:val="00230A17"/>
    <w:rsid w:val="002329BE"/>
    <w:rsid w:val="00275CE8"/>
    <w:rsid w:val="0028593E"/>
    <w:rsid w:val="002F477F"/>
    <w:rsid w:val="00315E61"/>
    <w:rsid w:val="003162CC"/>
    <w:rsid w:val="00317126"/>
    <w:rsid w:val="00364CFC"/>
    <w:rsid w:val="00365941"/>
    <w:rsid w:val="00384B71"/>
    <w:rsid w:val="003B6BD1"/>
    <w:rsid w:val="003C066E"/>
    <w:rsid w:val="003D2867"/>
    <w:rsid w:val="003D4B54"/>
    <w:rsid w:val="003F2F6C"/>
    <w:rsid w:val="00407345"/>
    <w:rsid w:val="0041556D"/>
    <w:rsid w:val="00420C15"/>
    <w:rsid w:val="004A58FE"/>
    <w:rsid w:val="004C04B5"/>
    <w:rsid w:val="004E6541"/>
    <w:rsid w:val="005336F8"/>
    <w:rsid w:val="005514D4"/>
    <w:rsid w:val="00584C94"/>
    <w:rsid w:val="005A6BC9"/>
    <w:rsid w:val="005B6BE3"/>
    <w:rsid w:val="005F4ED4"/>
    <w:rsid w:val="00615B3E"/>
    <w:rsid w:val="00623741"/>
    <w:rsid w:val="006506E3"/>
    <w:rsid w:val="00654ADC"/>
    <w:rsid w:val="006557E1"/>
    <w:rsid w:val="00667CA2"/>
    <w:rsid w:val="00686F84"/>
    <w:rsid w:val="006A7332"/>
    <w:rsid w:val="006B541E"/>
    <w:rsid w:val="006D6DC0"/>
    <w:rsid w:val="007227FF"/>
    <w:rsid w:val="007A3437"/>
    <w:rsid w:val="007D4BC0"/>
    <w:rsid w:val="007F34C3"/>
    <w:rsid w:val="007F4526"/>
    <w:rsid w:val="008024E9"/>
    <w:rsid w:val="00820449"/>
    <w:rsid w:val="00886D91"/>
    <w:rsid w:val="0089015A"/>
    <w:rsid w:val="0090300A"/>
    <w:rsid w:val="009332FE"/>
    <w:rsid w:val="0094304E"/>
    <w:rsid w:val="009737B8"/>
    <w:rsid w:val="00980261"/>
    <w:rsid w:val="00983F45"/>
    <w:rsid w:val="009A5BF6"/>
    <w:rsid w:val="009A6B88"/>
    <w:rsid w:val="009C1015"/>
    <w:rsid w:val="009C4DB6"/>
    <w:rsid w:val="009D01CE"/>
    <w:rsid w:val="009D7659"/>
    <w:rsid w:val="00A059B2"/>
    <w:rsid w:val="00A15BFC"/>
    <w:rsid w:val="00A3298F"/>
    <w:rsid w:val="00A44644"/>
    <w:rsid w:val="00A47B2F"/>
    <w:rsid w:val="00A60CA9"/>
    <w:rsid w:val="00A6323F"/>
    <w:rsid w:val="00A6675B"/>
    <w:rsid w:val="00A67661"/>
    <w:rsid w:val="00A737F3"/>
    <w:rsid w:val="00A77E8F"/>
    <w:rsid w:val="00A92364"/>
    <w:rsid w:val="00AB1C95"/>
    <w:rsid w:val="00AD322E"/>
    <w:rsid w:val="00AE1789"/>
    <w:rsid w:val="00B216E4"/>
    <w:rsid w:val="00B36BFC"/>
    <w:rsid w:val="00B545BF"/>
    <w:rsid w:val="00B73E5E"/>
    <w:rsid w:val="00B80C57"/>
    <w:rsid w:val="00B96431"/>
    <w:rsid w:val="00C26D89"/>
    <w:rsid w:val="00C33600"/>
    <w:rsid w:val="00C34063"/>
    <w:rsid w:val="00C531ED"/>
    <w:rsid w:val="00CE0A66"/>
    <w:rsid w:val="00D022F5"/>
    <w:rsid w:val="00D457B9"/>
    <w:rsid w:val="00D73972"/>
    <w:rsid w:val="00DE581D"/>
    <w:rsid w:val="00DE6441"/>
    <w:rsid w:val="00E349A3"/>
    <w:rsid w:val="00E35E25"/>
    <w:rsid w:val="00E44943"/>
    <w:rsid w:val="00E734DA"/>
    <w:rsid w:val="00E93AA0"/>
    <w:rsid w:val="00E94597"/>
    <w:rsid w:val="00EA1C9C"/>
    <w:rsid w:val="00EA4D2C"/>
    <w:rsid w:val="00EB4713"/>
    <w:rsid w:val="00EC1BCE"/>
    <w:rsid w:val="00F21AC1"/>
    <w:rsid w:val="00F2421A"/>
    <w:rsid w:val="00F43764"/>
    <w:rsid w:val="00F53E43"/>
    <w:rsid w:val="00F56426"/>
    <w:rsid w:val="00F56A6A"/>
    <w:rsid w:val="00F662F6"/>
    <w:rsid w:val="00F75E90"/>
    <w:rsid w:val="00FB2C5D"/>
    <w:rsid w:val="00FC645E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B29B4"/>
  <w15:docId w15:val="{29458D5B-0A6E-4DE8-A980-99610908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D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BE3"/>
  </w:style>
  <w:style w:type="paragraph" w:styleId="Footer">
    <w:name w:val="footer"/>
    <w:basedOn w:val="Normal"/>
    <w:link w:val="FooterChar"/>
    <w:unhideWhenUsed/>
    <w:rsid w:val="005B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6BE3"/>
  </w:style>
  <w:style w:type="paragraph" w:styleId="BalloonText">
    <w:name w:val="Balloon Text"/>
    <w:basedOn w:val="Normal"/>
    <w:link w:val="BalloonTextChar"/>
    <w:uiPriority w:val="99"/>
    <w:semiHidden/>
    <w:unhideWhenUsed/>
    <w:rsid w:val="0036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ghways.dot.gov/careers/transportation-educational-development-k-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834030\Downloads\letterhead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(3)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2024-04 NSTI</dc:title>
  <dc:subject/>
  <dc:creator>Megyesy, Leslie</dc:creator>
  <cp:keywords>Science, Technology, Engineering and Math (STEM) education program,</cp:keywords>
  <dc:description/>
  <cp:lastModifiedBy>Patel, Kamal [DOT]</cp:lastModifiedBy>
  <cp:revision>3</cp:revision>
  <cp:lastPrinted>2024-12-02T20:19:00Z</cp:lastPrinted>
  <dcterms:created xsi:type="dcterms:W3CDTF">2024-12-02T22:06:00Z</dcterms:created>
  <dcterms:modified xsi:type="dcterms:W3CDTF">2024-12-04T21:28:00Z</dcterms:modified>
</cp:coreProperties>
</file>